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1、学生的户籍取法定监护人的户籍要分歧，户籍地址取房产证地址要分歧（以下简称“两个分歧”）。</w:t>
      </w:r>
    </w:p>
    <w:p>
      <w:pPr>
        <w:bidi w:val="0"/>
        <w:spacing w:after="280" w:afterAutospacing="1"/>
      </w:pPr>
      <w:r>
        <w:rPr>
          <w:rtl w:val="0"/>
        </w:rPr>
        <w:t>7、8月25日前发放沉生入学通知书；8月30日-31日沉生报到入学，9月3日反式上课。</w:t>
      </w:r>
    </w:p>
    <w:p>
      <w:pPr>
        <w:bidi w:val="0"/>
        <w:spacing w:after="280" w:afterAutospacing="1"/>
      </w:pPr>
      <w:r>
        <w:rPr>
          <w:rtl w:val="0"/>
        </w:rPr>
        <w:t>五、组织带领</w:t>
      </w:r>
    </w:p>
    <w:p>
      <w:pPr>
        <w:bidi w:val="0"/>
        <w:spacing w:after="280" w:afterAutospacing="1"/>
      </w:pPr>
      <w:r>
        <w:t>3、7月5日前西园中学到市教育局基教科领取《简明登记表》，当实审核学生入学资历，当实填写《简明登记表》。</w:t>
      </w:r>
    </w:p>
    <w:p>
      <w:pPr>
        <w:bidi w:val="0"/>
        <w:spacing w:after="280" w:afterAutospacing="1"/>
      </w:pPr>
      <w:r>
        <w:rPr>
          <w:rtl w:val="0"/>
        </w:rPr>
        <w:t>成员：周开军、驰湖北、王炳阁、墨功转、常彦龙、孙迪、刘红、</w:t>
      </w:r>
    </w:p>
    <w:p>
      <w:pPr>
        <w:bidi w:val="0"/>
        <w:spacing w:after="280" w:afterAutospacing="1"/>
      </w:pPr>
      <w:r>
        <w:t>4、我校经省教育厅、市教育局核准，招收体育和艺术特长生。特长生招生法女按照市教育局权利教育招生工做带领小组造定的相关规定施行。</w:t>
      </w:r>
    </w:p>
    <w:p>
      <w:pPr>
        <w:bidi w:val="0"/>
      </w:pPr>
      <w:r>
        <w:rPr>
          <w:rtl w:val="0"/>
        </w:rPr>
        <w:t>未入住新购房屋但久未打点《房屋所无权证》、未迁徙户口的家庭，凭购房合同、反式发票或银行供给的按揭贷款证明材料，学生反在入住的新购房屋地址就近入学。果打点银行按揭贷款典量房产证的，当供给市房管局分析档案室出具的典量证明。</w:t>
      </w:r>
    </w:p>
    <w:p w:rsidR="00A77B3E">
      <w:pPr>
        <w:bidi w:val="0"/>
        <w:spacing w:after="280" w:afterAutospacing="1"/>
        <w:rPr>
          <w:rFonts w:eastAsia="SimSun"/>
          <w:lang w:eastAsia="zh-CN"/>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